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87</w:t>
      </w:r>
    </w:p>
    <w:p>
      <w:r>
        <w:t>Bundesgericht (BGE), 1977-05-06, DE</w:t>
      </w:r>
    </w:p>
    <w:p>
      <w:r>
        <w:rPr>
          <w:b/>
        </w:rPr>
        <w:t xml:space="preserve">Quelle: </w:t>
      </w:r>
      <w:r>
        <w:t>https://mcp.opencaselaw.ch/entscheid/bge_103 IV 87</w:t>
      </w:r>
    </w:p>
    <w:p>
      <w:r>
        <w:t>FR: ATF 103 IV 87</w:t>
      </w:r>
    </w:p>
    <w:p>
      <w:r>
        <w:t>IT: DTF 103 IV 87</w:t>
      </w:r>
    </w:p>
    <w:p>
      <w:pPr>
        <w:pStyle w:val="Heading2"/>
      </w:pPr>
      <w:r>
        <w:t>Regeste</w:t>
      </w:r>
    </w:p>
    <w:p>
      <w:r>
        <w:t>Regeste Art. 140 Ziff. 1 Abs. 2 StGB. Als "anvertrautes Gut" gelten nur vertretbare, körperliche Gegenstände, nicht auch Grundpfandverschreibungen, die keine Wertpapiere sind.</w:t>
      </w:r>
    </w:p>
    <w:p>
      <w:pPr>
        <w:pStyle w:val="Heading2"/>
      </w:pPr>
      <w:r>
        <w:t>Erwägungen</w:t>
      </w:r>
    </w:p>
    <w:p>
      <w:r>
        <w:rPr>
          <w:b/>
        </w:rPr>
        <w:t>E. 1</w:t>
      </w:r>
    </w:p>
    <w:p>
      <w:r>
        <w:t>Der Beschwerdeführer macht in erster Linie geltend, unter anvertrautem Gut im Sinne des von der Vorinstanz mit Recht einzig zur Anwendung gebrachten Art. 140 Ziff. 1 Abs. 2 StGB seien entgegen deren Auffassung lediglich vertretbare Sachen zu verstehen. Bei dem in Frage stehenden Schuldschein mit Grundpfandverschreibung habe es sich nicht um eine solche gehandelt. Als "anvertrautes Gut" ("chose fongible", "cosa fungibile") gemäss Art. 140 Ziff. 1 Abs. 2 StGB gelten nach ständiger Rechtsprechung nur vertretbare Sachen ( BGE 90 IV 193 mit Verweisen). Diese Auffassung ist im Schrifttum zwar nicht unwidersprochen geblieben (vgl. SCHWANDER, Schweiz. Strafrecht, 2. Aufl. Nr. 558; STRATENWERTH, I S. 176). Dennoch besteht keine Veranlassung, von dieser Rechtsprechung abzuweichen. Die dagegen vorgetragenen Argumente vermögen nichts daran zu ändern, dass, wie in BGE 90 IV 180 ff. einlässlich dargelegt wurde, unter die fragliche Bestimmung nach der Entstehungsgeschichte entsprechend dem französischen und dem italienischen Gesetzestext nur vertretbare Sachen fallen sollen, und eine über diese Beschränkung hinausgehende Auslegung gestützt auf den in BGE 103 IV 87 S. 89 seiner Bedeutung unklaren Begriff "anvertrautes Gut" (HAFTER, II/1 S. 240) sich nicht aufdrängt. Das Strafgesetzbuch umschreibt den Begriff der Sache, den es bei den Aneignungsdelikten (Art. 137-141), andern Vermögensdelikten (Art. 143-145, 147) und bei den Betreibungs- und Konkursdelikten im Tatbestand des Verstrickungsbruches (Art. 169) verwendet, nicht näher. Nach der in Literatur und Rechtsprechung vorherrschenden und vom Kassationshof in BGE 81 IV 158 bei der Auslegung des Hehlereitatbestandes (Art. 144) übernommenen Auffassung sind darunter nur körperliche Gegenstände zu verstehen, nicht auch Forderungen, soweit diese nicht in einem Wertpapier verkörpert sind. Sowohl der herkömmliche Wortsinn wie die Ansicht des historischen Gesetzgebers beruhen auf dem Sachbegriff, wie ihn das Zivilrecht ( Art. 713 ZGB ) geprägt hat. Im vorliegenden Fall stellt die von Frau M. zurückverlangte Grundpfandverschreibung eine Schuldanerkennung des Beschwerdeführers dar. Diese Urkunde enthält die Schuldanerkennung des Hypothekarschuldners und zugleich die Bescheinigung über die Eintragung der Grundpfandverschreibung im Grundbuch. Da es sich bei ihr nicht um einen gesetzlichen Urkundentyp handelt, ist sie nur dann ein Wertpapier, wenn sie im Einzelfall das Versprechen des Schuldners enthält, nicht ohne Vorweisung der Urkunde zu leisten (JÄGGI, Art. 965 OR , N. 285). Das wird im vorliegenden Fall weder behauptet noch ist solches den Akten zu entnehmen. Sie ist deshalb als schlichte Beweisurkunde zu betrachten.</w:t>
      </w:r>
    </w:p>
    <w:p>
      <w:r>
        <w:rPr>
          <w:b/>
        </w:rPr>
        <w:t>E. 2</w:t>
      </w:r>
    </w:p>
    <w:p>
      <w:r>
        <w:t>War die Grundpfandverschreibung, über die der Beschwerdeführer verfügte, weder ein Wertpapier noch eine vertretbare Sache im Sinne des Art. 140 Ziff. 1 Abs. 2 StGB , so taugte sie als Gegenstand der Veruntreuung nicht. Das angefochtene Urteil ist deshalb aufzuheben, soweit es den Beschwerdeführer der Veruntreuung schuldig erklärt, und die Sache an die Vorinstanz zurückzuweisen, damit sie den Beschwerdeführer in diesem Punkte freispreche.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